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tabs>
          <w:tab w:val="clear" w:pos="708"/>
          <w:tab w:val="left" w:pos="2465" w:leader="none"/>
          <w:tab w:val="center" w:pos="4819" w:leader="none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/>
        <w:drawing>
          <wp:inline distT="0" distB="0" distL="0" distR="0">
            <wp:extent cx="6120130" cy="1112520"/>
            <wp:effectExtent l="0" t="0" r="0" b="0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dpis1"/>
        <w:tabs>
          <w:tab w:val="clear" w:pos="708"/>
          <w:tab w:val="left" w:pos="2465" w:leader="none"/>
          <w:tab w:val="center" w:pos="4819" w:leader="none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rFonts w:ascii="Arial" w:hAnsi="Arial"/>
          <w:sz w:val="36"/>
          <w:szCs w:val="30"/>
        </w:rPr>
        <w:t>Finanční úřad pro Jihočeský kraj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Mánesova 1803/3a, 371 87 České Budějovice</w:t>
      </w:r>
    </w:p>
    <w:p>
      <w:pPr>
        <w:pStyle w:val="Normal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adpis1"/>
        <w:spacing w:before="0" w:after="0"/>
        <w:rPr>
          <w:rFonts w:ascii="Arial" w:hAnsi="Arial"/>
          <w:szCs w:val="26"/>
        </w:rPr>
      </w:pPr>
      <w:r>
        <w:rPr>
          <w:rFonts w:ascii="Arial" w:hAnsi="Arial"/>
          <w:szCs w:val="26"/>
        </w:rPr>
      </w:r>
    </w:p>
    <w:p>
      <w:pPr>
        <w:pStyle w:val="Nadpis1"/>
        <w:spacing w:before="0" w:after="0"/>
        <w:rPr>
          <w:rFonts w:ascii="Arial" w:hAnsi="Arial"/>
          <w:szCs w:val="26"/>
        </w:rPr>
      </w:pPr>
      <w:r>
        <w:rPr>
          <w:rFonts w:ascii="Arial" w:hAnsi="Arial"/>
          <w:szCs w:val="26"/>
        </w:rPr>
        <w:t>Územní pracoviště ve Strakonicích</w:t>
      </w:r>
    </w:p>
    <w:p>
      <w:pPr>
        <w:pStyle w:val="Nadpis1"/>
        <w:spacing w:before="0" w:after="0"/>
        <w:rPr>
          <w:rFonts w:ascii="Arial" w:hAnsi="Arial"/>
          <w:b w:val="false"/>
          <w:b w:val="false"/>
          <w:sz w:val="28"/>
          <w:szCs w:val="26"/>
        </w:rPr>
      </w:pPr>
      <w:r>
        <w:rPr>
          <w:rFonts w:ascii="Arial" w:hAnsi="Arial"/>
          <w:b w:val="false"/>
          <w:sz w:val="28"/>
          <w:szCs w:val="26"/>
        </w:rPr>
        <w:t>Na Ohradě 1067, 386 01 Strakonice</w:t>
      </w:r>
    </w:p>
    <w:p>
      <w:pPr>
        <w:pStyle w:val="Normal"/>
        <w:rPr>
          <w:rFonts w:cs="Times New Roman"/>
          <w:sz w:val="28"/>
        </w:rPr>
      </w:pPr>
      <w:r>
        <w:rPr>
          <w:rFonts w:cs="Times New Roman"/>
          <w:sz w:val="28"/>
        </w:rPr>
        <w:t>Oddělení majetkových daní</w:t>
      </w:r>
    </w:p>
    <w:p>
      <w:pPr>
        <w:pStyle w:val="Normal"/>
        <w:spacing w:before="0" w:after="60"/>
        <w:jc w:val="center"/>
        <w:rPr>
          <w:rFonts w:cs="Times New Roman"/>
          <w:b/>
          <w:b/>
          <w:color w:val="CC0066"/>
          <w:sz w:val="36"/>
          <w:szCs w:val="24"/>
          <w:u w:val="single"/>
        </w:rPr>
      </w:pPr>
      <w:r>
        <w:rPr>
          <w:rFonts w:cs="Times New Roman"/>
          <w:b/>
          <w:color w:val="CC0066"/>
          <w:sz w:val="36"/>
          <w:szCs w:val="24"/>
          <w:u w:val="single"/>
        </w:rPr>
      </w:r>
    </w:p>
    <w:p>
      <w:pPr>
        <w:pStyle w:val="Normal"/>
        <w:spacing w:before="0" w:after="60"/>
        <w:jc w:val="center"/>
        <w:rPr>
          <w:rFonts w:cs="Times New Roman"/>
          <w:b/>
          <w:b/>
          <w:color w:val="CC0066"/>
          <w:sz w:val="48"/>
          <w:szCs w:val="24"/>
          <w:u w:val="single"/>
        </w:rPr>
      </w:pPr>
      <w:r>
        <w:rPr>
          <w:rFonts w:cs="Times New Roman"/>
          <w:b/>
          <w:color w:val="CC0066"/>
          <w:sz w:val="48"/>
          <w:szCs w:val="24"/>
          <w:u w:val="single"/>
        </w:rPr>
        <w:t>Informace</w:t>
      </w:r>
      <w:r>
        <w:rPr>
          <w:rFonts w:cs="Times New Roman"/>
          <w:color w:val="CC0066"/>
          <w:sz w:val="48"/>
          <w:szCs w:val="24"/>
          <w:u w:val="single"/>
        </w:rPr>
        <w:t xml:space="preserve"> </w:t>
      </w:r>
      <w:r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>
      <w:pPr>
        <w:pStyle w:val="Normal"/>
        <w:jc w:val="center"/>
        <w:rPr>
          <w:rFonts w:cs="Times New Roman"/>
          <w:color w:val="0000FF"/>
          <w:sz w:val="44"/>
          <w:szCs w:val="24"/>
        </w:rPr>
      </w:pPr>
      <w:r>
        <w:rPr>
          <w:rFonts w:cs="Times New Roman"/>
          <w:color w:val="0000FF"/>
          <w:sz w:val="44"/>
          <w:szCs w:val="24"/>
        </w:rPr>
        <w:t xml:space="preserve">na zdaňovací období </w:t>
      </w:r>
      <w:r>
        <w:rPr>
          <w:rFonts w:cs="Times New Roman"/>
          <w:b/>
          <w:color w:val="0000FF"/>
          <w:sz w:val="44"/>
          <w:szCs w:val="24"/>
        </w:rPr>
        <w:t>roku 2026</w:t>
      </w:r>
      <w:r>
        <w:rPr>
          <w:rFonts w:cs="Times New Roman"/>
          <w:color w:val="0000FF"/>
          <w:sz w:val="44"/>
          <w:szCs w:val="24"/>
        </w:rPr>
        <w:t xml:space="preserve"> pro obec:</w:t>
      </w:r>
    </w:p>
    <w:p>
      <w:pPr>
        <w:pStyle w:val="Normal"/>
        <w:jc w:val="center"/>
        <w:rPr>
          <w:rFonts w:cs="Times New Roman"/>
          <w:b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</w:r>
    </w:p>
    <w:p>
      <w:pPr>
        <w:pStyle w:val="Normal"/>
        <w:jc w:val="center"/>
        <w:rPr>
          <w:rFonts w:cs="Times New Roman"/>
          <w:b/>
          <w:b/>
          <w:color w:val="CC0066"/>
          <w:sz w:val="40"/>
          <w:szCs w:val="32"/>
        </w:rPr>
      </w:pPr>
      <w:r>
        <w:rPr>
          <w:rFonts w:cs="Times New Roman"/>
          <w:b/>
          <w:color w:val="CC0066"/>
          <w:sz w:val="40"/>
          <w:szCs w:val="32"/>
        </w:rPr>
        <w:t>H O R N O S Í N</w:t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spacing w:before="0" w:after="120"/>
        <w:jc w:val="both"/>
        <w:rPr>
          <w:rFonts w:cs="Times New Roman"/>
          <w:b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>
      <w:pPr>
        <w:pStyle w:val="Normal"/>
        <w:spacing w:before="0" w:after="120"/>
        <w:jc w:val="both"/>
        <w:rPr>
          <w:rFonts w:cs="Times New Roman"/>
          <w:b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</w:r>
    </w:p>
    <w:p>
      <w:pPr>
        <w:pStyle w:val="Normal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katastrální území (k. ú.)</w:t>
        <w:tab/>
        <w:tab/>
        <w:t>kód k.ú.   prům. cena zem. půdy (Kč/m</w:t>
      </w:r>
      <w:r>
        <w:rPr>
          <w:rFonts w:cs="Times New Roman"/>
          <w:szCs w:val="24"/>
          <w:u w:val="single"/>
          <w:vertAlign w:val="superscript"/>
        </w:rPr>
        <w:t>2</w:t>
      </w:r>
      <w:r>
        <w:rPr>
          <w:rFonts w:cs="Times New Roman"/>
          <w:szCs w:val="24"/>
          <w:u w:val="single"/>
        </w:rPr>
        <w:t>)    zjednodušená evidence pozemků</w:t>
      </w:r>
    </w:p>
    <w:tbl>
      <w:tblPr>
        <w:tblW w:w="963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94"/>
        <w:gridCol w:w="875"/>
        <w:gridCol w:w="2951"/>
        <w:gridCol w:w="3118"/>
      </w:tblGrid>
      <w:tr>
        <w:trPr>
          <w:trHeight w:val="255" w:hRule="atLeast"/>
        </w:trPr>
        <w:tc>
          <w:tcPr>
            <w:tcW w:w="26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Hornosín</w:t>
            </w:r>
          </w:p>
        </w:tc>
        <w:tc>
          <w:tcPr>
            <w:tcW w:w="8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644765</w:t>
            </w:r>
          </w:p>
        </w:tc>
        <w:tc>
          <w:tcPr>
            <w:tcW w:w="29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4,30</w:t>
            </w:r>
          </w:p>
        </w:tc>
        <w:tc>
          <w:tcPr>
            <w:tcW w:w="3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>
      <w:pPr>
        <w:pStyle w:val="Normal"/>
        <w:jc w:val="both"/>
        <w:rPr>
          <w:rFonts w:cs="Times New Roman"/>
          <w:b/>
          <w:b/>
          <w:sz w:val="22"/>
          <w:szCs w:val="24"/>
          <w:u w:val="single"/>
        </w:rPr>
      </w:pPr>
      <w:r>
        <w:rPr>
          <w:rFonts w:cs="Times New Roman"/>
          <w:b/>
          <w:sz w:val="22"/>
          <w:szCs w:val="24"/>
          <w:u w:val="single"/>
        </w:rPr>
      </w:r>
    </w:p>
    <w:p>
      <w:pPr>
        <w:pStyle w:val="Normal"/>
        <w:jc w:val="both"/>
        <w:rPr>
          <w:rFonts w:cs="Times New Roman"/>
          <w:b/>
          <w:b/>
          <w:sz w:val="22"/>
          <w:szCs w:val="24"/>
          <w:u w:val="single"/>
        </w:rPr>
      </w:pPr>
      <w:r>
        <w:rPr>
          <w:rFonts w:cs="Times New Roman"/>
          <w:b/>
          <w:sz w:val="22"/>
          <w:szCs w:val="24"/>
          <w:u w:val="single"/>
        </w:rPr>
      </w:r>
    </w:p>
    <w:p>
      <w:pPr>
        <w:pStyle w:val="Normal"/>
        <w:jc w:val="both"/>
        <w:rPr>
          <w:rFonts w:cs="Times New Roman"/>
          <w:sz w:val="22"/>
          <w:szCs w:val="24"/>
          <w:u w:val="single"/>
        </w:rPr>
      </w:pPr>
      <w:r>
        <w:rPr>
          <w:rFonts w:cs="Times New Roman"/>
          <w:b/>
          <w:sz w:val="22"/>
          <w:szCs w:val="24"/>
          <w:u w:val="single"/>
        </w:rPr>
        <w:t>Koeficient</w:t>
      </w:r>
      <w:r>
        <w:rPr>
          <w:rFonts w:cs="Times New Roman"/>
          <w:sz w:val="22"/>
          <w:szCs w:val="24"/>
          <w:u w:val="single"/>
        </w:rPr>
        <w:t xml:space="preserve"> pro stavební pozemky</w:t>
      </w:r>
      <w:r>
        <w:rPr>
          <w:rFonts w:cs="Times New Roman"/>
          <w:b/>
          <w:sz w:val="22"/>
          <w:szCs w:val="24"/>
          <w:u w:val="single"/>
        </w:rPr>
        <w:t xml:space="preserve"> (F) </w:t>
      </w:r>
      <w:r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5528" w:type="dxa"/>
        <w:jc w:val="left"/>
        <w:tblInd w:w="2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0"/>
        <w:gridCol w:w="567"/>
      </w:tblGrid>
      <w:tr>
        <w:trPr/>
        <w:tc>
          <w:tcPr>
            <w:tcW w:w="49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r>
              <w:rPr>
                <w:rFonts w:cs="Times New Roman"/>
                <w:sz w:val="22"/>
                <w:szCs w:val="24"/>
              </w:rPr>
              <w:t>k.ú. Hornosín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Times New Roman"/>
                <w:b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>
      <w:pPr>
        <w:pStyle w:val="Normal"/>
        <w:spacing w:before="0" w:after="120"/>
        <w:jc w:val="both"/>
        <w:rPr>
          <w:rFonts w:cs="Times New Roman"/>
          <w:b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</w:r>
    </w:p>
    <w:p>
      <w:pPr>
        <w:pStyle w:val="Normal"/>
        <w:spacing w:before="0" w:after="120"/>
        <w:jc w:val="both"/>
        <w:rPr>
          <w:rFonts w:cs="Times New Roman"/>
          <w:b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>
      <w:pPr>
        <w:pStyle w:val="Normal"/>
        <w:jc w:val="both"/>
        <w:rPr>
          <w:rFonts w:cs="Times New Roman"/>
          <w:sz w:val="22"/>
          <w:szCs w:val="24"/>
          <w:u w:val="single"/>
        </w:rPr>
      </w:pPr>
      <w:r>
        <w:rPr>
          <w:rFonts w:cs="Times New Roman"/>
          <w:b/>
          <w:sz w:val="22"/>
          <w:szCs w:val="24"/>
          <w:u w:val="single"/>
        </w:rPr>
        <w:t>Koeficient</w:t>
      </w:r>
      <w:r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>
      <w:pPr>
        <w:pStyle w:val="Normal"/>
        <w:jc w:val="both"/>
        <w:rPr>
          <w:rFonts w:cs="Times New Roman"/>
          <w:b/>
          <w:b/>
          <w:sz w:val="22"/>
          <w:szCs w:val="24"/>
        </w:rPr>
      </w:pPr>
      <w:r>
        <w:rPr>
          <w:rFonts w:cs="Times New Roman"/>
          <w:sz w:val="22"/>
          <w:szCs w:val="24"/>
        </w:rPr>
        <w:t xml:space="preserve">budova obytného domu </w:t>
      </w:r>
      <w:r>
        <w:rPr>
          <w:rFonts w:cs="Times New Roman"/>
          <w:b/>
          <w:sz w:val="22"/>
          <w:szCs w:val="24"/>
        </w:rPr>
        <w:t>(H)</w:t>
      </w:r>
    </w:p>
    <w:p>
      <w:pPr>
        <w:pStyle w:val="Normal"/>
        <w:jc w:val="both"/>
        <w:rPr>
          <w:rFonts w:cs="Times New Roman"/>
          <w:b/>
          <w:b/>
          <w:sz w:val="22"/>
          <w:szCs w:val="24"/>
        </w:rPr>
      </w:pPr>
      <w:r>
        <w:rPr>
          <w:rFonts w:cs="Times New Roman"/>
          <w:sz w:val="22"/>
          <w:szCs w:val="24"/>
        </w:rPr>
        <w:t xml:space="preserve">ostatní budova tvořící příslušenství k budově obytného domu </w:t>
      </w:r>
      <w:r>
        <w:rPr>
          <w:rFonts w:cs="Times New Roman"/>
          <w:b/>
          <w:sz w:val="22"/>
          <w:szCs w:val="24"/>
        </w:rPr>
        <w:t>(I)</w:t>
      </w:r>
    </w:p>
    <w:p>
      <w:pPr>
        <w:pStyle w:val="Normal"/>
        <w:jc w:val="both"/>
        <w:rPr>
          <w:rFonts w:cs="Times New Roman"/>
          <w:b/>
          <w:b/>
          <w:sz w:val="22"/>
          <w:szCs w:val="24"/>
        </w:rPr>
      </w:pPr>
      <w:r>
        <w:rPr>
          <w:rFonts w:cs="Times New Roman"/>
          <w:sz w:val="22"/>
          <w:szCs w:val="24"/>
        </w:rPr>
        <w:t xml:space="preserve">zdanitelná jednotky zařazené ve skupině ostatních zdanitelných jednotek </w:t>
      </w:r>
      <w:r>
        <w:rPr>
          <w:rFonts w:cs="Times New Roman"/>
          <w:b/>
          <w:sz w:val="22"/>
          <w:szCs w:val="24"/>
        </w:rPr>
        <w:t>(R, Z)</w:t>
      </w:r>
    </w:p>
    <w:tbl>
      <w:tblPr>
        <w:tblW w:w="5528" w:type="dxa"/>
        <w:jc w:val="left"/>
        <w:tblInd w:w="2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0"/>
        <w:gridCol w:w="567"/>
      </w:tblGrid>
      <w:tr>
        <w:trPr/>
        <w:tc>
          <w:tcPr>
            <w:tcW w:w="49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r>
              <w:rPr>
                <w:rFonts w:cs="Times New Roman"/>
                <w:sz w:val="22"/>
                <w:szCs w:val="24"/>
              </w:rPr>
              <w:t>k.ú. Hornosín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Times New Roman"/>
                <w:b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>
      <w:pPr>
        <w:pStyle w:val="Tlotextu"/>
        <w:spacing w:before="0" w:after="120"/>
        <w:jc w:val="center"/>
        <w:rPr>
          <w:rFonts w:ascii="Arial" w:hAnsi="Arial"/>
          <w:b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r>
    </w:p>
    <w:p>
      <w:pPr>
        <w:pStyle w:val="Tlotextu"/>
        <w:spacing w:before="0" w:after="120"/>
        <w:jc w:val="center"/>
        <w:rPr>
          <w:rFonts w:ascii="Arial" w:hAnsi="Arial"/>
          <w:b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podání daňového přiznání</w:t>
      </w:r>
    </w:p>
    <w:p>
      <w:pPr>
        <w:pStyle w:val="Tlotextu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>
        <w:rPr>
          <w:rFonts w:ascii="Arial" w:hAnsi="Arial"/>
          <w:b/>
          <w:sz w:val="22"/>
          <w:szCs w:val="24"/>
        </w:rPr>
        <w:t>zdaňovací období roku 2026</w:t>
      </w:r>
      <w:r>
        <w:rPr>
          <w:rFonts w:ascii="Arial" w:hAnsi="Arial"/>
          <w:sz w:val="22"/>
          <w:szCs w:val="24"/>
        </w:rPr>
        <w:t xml:space="preserve"> nutno podat </w:t>
      </w:r>
      <w:r>
        <w:rPr>
          <w:rFonts w:ascii="Arial" w:hAnsi="Arial"/>
          <w:sz w:val="22"/>
        </w:rPr>
        <w:t>příslušnému</w:t>
      </w:r>
      <w:r>
        <w:rPr>
          <w:rFonts w:ascii="Arial" w:hAnsi="Arial"/>
          <w:b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územnímu pracovišti, kde je umístěn spis poplatníka, </w:t>
      </w:r>
      <w:r>
        <w:rPr>
          <w:rFonts w:ascii="Arial" w:hAnsi="Arial"/>
          <w:b/>
          <w:sz w:val="22"/>
          <w:szCs w:val="24"/>
          <w:u w:val="single"/>
        </w:rPr>
        <w:t>nejpozději do 31. ledna 2026</w:t>
      </w:r>
      <w:r>
        <w:rPr>
          <w:rFonts w:ascii="Arial" w:hAnsi="Arial"/>
          <w:sz w:val="22"/>
          <w:szCs w:val="24"/>
        </w:rPr>
        <w:t>. Noví poplatníci daně podají daňové přiznání na územní pracoviště dle pokynu GFŘ–D-73, který je k dispozici na každém územním pracovišti, případně na internetové adrese finanční správy.</w:t>
      </w:r>
    </w:p>
    <w:p>
      <w:pPr>
        <w:pStyle w:val="Tlotextu"/>
        <w:ind w:firstLine="708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</w:r>
    </w:p>
    <w:p>
      <w:pPr>
        <w:pStyle w:val="Normal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 stránkách Finanční správy v sekci Daň z nemovitých věcí je vytvořen odkaz „Informace, metodika, stanoviska“, kde je možné dohledat aktuální informace a metodické pokyny týkající se daně z nemovitých věcí platné pro zdaňovací období 2026 např.: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Metodický pokyn k aplikaci osvobození od daně z nemovitých věcí u zdanitelných staveb veřejně přístupných kulturních památek a pozemků v jejich funkčním celku,</w:t>
      </w:r>
    </w:p>
    <w:p>
      <w:pPr>
        <w:pStyle w:val="ListParagraph"/>
        <w:numPr>
          <w:ilvl w:val="0"/>
          <w:numId w:val="1"/>
        </w:numPr>
        <w:jc w:val="both"/>
        <w:rPr>
          <w:rFonts w:ascii="Arial-BoldMT" w:hAnsi="Arial-BoldMT" w:eastAsia="Calibri" w:cs="Arial-BoldMT" w:eastAsiaTheme="minorHAnsi"/>
          <w:sz w:val="22"/>
          <w:szCs w:val="22"/>
          <w:lang w:eastAsia="en-US"/>
        </w:rPr>
      </w:pPr>
      <w:r>
        <w:rPr>
          <w:rFonts w:eastAsia="Calibri" w:cs="Arial-BoldMT" w:ascii="Arial-BoldMT" w:hAnsi="Arial-BoldMT" w:eastAsiaTheme="minorHAnsi"/>
          <w:sz w:val="22"/>
          <w:szCs w:val="22"/>
          <w:lang w:eastAsia="en-US"/>
        </w:rPr>
        <w:t>Metodický pokyn ohledně zařazení nemovitých věcí, které má podnikatel zařazeny do obchodního majetku podle zákona o daních z příjmů, do skupin podle zákona o dani z nemovitých věcí – aktualizované znění.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22"/>
          <w:szCs w:val="22"/>
        </w:rPr>
      </w:pPr>
      <w:hyperlink r:id="rId3">
        <w:r>
          <w:rPr>
            <w:rStyle w:val="Internetovodkaz"/>
            <w:sz w:val="22"/>
            <w:szCs w:val="22"/>
          </w:rPr>
          <w:t>https://financnisprava.gov.cz/cs/dane/dane/dan-z-nemovitych-veci/informace-stanoviska-a-sdeleni/2025</w:t>
        </w:r>
      </w:hyperlink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je pro poplatníky daně z nemovitých věci dostupná služba předvyplnění daňového přiznání k dani z nemovitých věcí, kterou mohou využít pouze uživatelé přihlášení do Daňové informační schránky (DIS+).  Více informací naleznete na tomto odkazu: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hyperlink r:id="rId4">
        <w:bookmarkStart w:id="0" w:name="_Hlk153366795"/>
        <w:r>
          <w:rPr>
            <w:rStyle w:val="Internetovodkaz"/>
            <w:sz w:val="22"/>
            <w:szCs w:val="22"/>
          </w:rPr>
          <w:t>https://www.financnisprava.cz/cs/dane/dane/dan-z-nemovitych-veci/informace-stanoviska-a-sdeleni/2023</w:t>
        </w:r>
      </w:hyperlink>
      <w:r>
        <w:rPr>
          <w:sz w:val="22"/>
          <w:szCs w:val="22"/>
        </w:rPr>
        <w:t xml:space="preserve"> a v tiskové zprávě (</w:t>
      </w:r>
      <w:hyperlink r:id="rId5">
        <w:r>
          <w:rPr>
            <w:rStyle w:val="Interne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rPr/>
        <w:t>)</w:t>
      </w:r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4"/>
        </w:rPr>
        <w:t xml:space="preserve">Přiznání k dani z nemovitých věcí lze vyplnit elektronicky prostřednictvím Online finančního úřadu na adrese </w:t>
      </w:r>
      <w:hyperlink r:id="rId6">
        <w:r>
          <w:rPr>
            <w:rStyle w:val="Interne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>
        <w:rPr>
          <w:sz w:val="22"/>
          <w:szCs w:val="24"/>
        </w:rPr>
        <w:t xml:space="preserve">. </w:t>
      </w:r>
      <w:r>
        <w:rPr>
          <w:sz w:val="22"/>
          <w:szCs w:val="22"/>
        </w:rPr>
        <w:t xml:space="preserve">Online finanční úřad obsahuje veškeré číselníky nutné pro vyplnění daňového přiznání k dani z nemovitých věcí včetně nápovědy. </w:t>
      </w:r>
    </w:p>
    <w:p>
      <w:pPr>
        <w:pStyle w:val="Normal"/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>
        <w:rPr>
          <w:rFonts w:cs="Times New Roman"/>
          <w:sz w:val="22"/>
          <w:szCs w:val="24"/>
        </w:rPr>
        <w:t xml:space="preserve">internetových stránkách Finanční správy </w:t>
      </w:r>
      <w:hyperlink r:id="rId7">
        <w:r>
          <w:rPr>
            <w:rStyle w:val="Internetovodkaz"/>
            <w:rFonts w:cs="Times New Roman"/>
            <w:b/>
            <w:sz w:val="22"/>
            <w:szCs w:val="24"/>
          </w:rPr>
          <w:t>http://www.financnisprava.cz</w:t>
        </w:r>
      </w:hyperlink>
      <w:r>
        <w:rPr>
          <w:rStyle w:val="Interne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Internetovodkaz"/>
          <w:rFonts w:cs="Times New Roman"/>
          <w:bCs/>
          <w:sz w:val="22"/>
          <w:szCs w:val="24"/>
          <w:u w:val="none"/>
        </w:rPr>
        <w:t>v nabídce Daňové tiskopisy.</w:t>
      </w:r>
      <w:r>
        <w:rPr>
          <w:rFonts w:cs="Times New Roman"/>
          <w:color w:val="000000"/>
          <w:sz w:val="22"/>
          <w:szCs w:val="24"/>
        </w:rPr>
        <w:t xml:space="preserve"> </w:t>
      </w:r>
    </w:p>
    <w:p>
      <w:pPr>
        <w:pStyle w:val="Normal"/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  <w:lang w:eastAsia="en-US"/>
        </w:rPr>
        <w:t xml:space="preserve">Na stránkách Finanční správy v sekci Daň z nemovitých věcí – </w:t>
      </w:r>
      <w:r>
        <w:rPr>
          <w:sz w:val="22"/>
          <w:szCs w:val="22"/>
          <w:u w:val="single"/>
          <w:lang w:eastAsia="en-US"/>
        </w:rPr>
        <w:t>Vyhledávání koeficientů pro podání k dani z nemovitých věcí</w:t>
      </w:r>
      <w:r>
        <w:rPr>
          <w:sz w:val="22"/>
          <w:szCs w:val="22"/>
          <w:lang w:eastAsia="en-US"/>
        </w:rPr>
        <w:t xml:space="preserve"> </w:t>
      </w:r>
      <w:r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jc w:val="both"/>
        <w:rPr>
          <w:rFonts w:cs="Times New Roman"/>
          <w:b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Pokud by nebylo daňové přiznání podáno včas, případně by nebylo podáno vůbec, vzniká při splnění zákonných podmínek poplatníkovi daně povinnost uhradit pokutu.</w:t>
      </w:r>
    </w:p>
    <w:p>
      <w:pPr>
        <w:pStyle w:val="Normal"/>
        <w:jc w:val="both"/>
        <w:rPr>
          <w:rFonts w:cs="Times New Roman"/>
          <w:b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</w:r>
    </w:p>
    <w:p>
      <w:pPr>
        <w:pStyle w:val="Tlotextu"/>
        <w:spacing w:before="0" w:after="120"/>
        <w:jc w:val="center"/>
        <w:rPr>
          <w:rFonts w:ascii="Arial" w:hAnsi="Arial"/>
          <w:b/>
          <w:b/>
          <w:caps/>
          <w:color w:val="CC0066"/>
          <w:sz w:val="28"/>
          <w:szCs w:val="24"/>
          <w:u w:val="single"/>
        </w:rPr>
      </w:pPr>
      <w:r>
        <w:rPr>
          <w:rFonts w:ascii="Arial" w:hAnsi="Arial"/>
          <w:b/>
          <w:caps/>
          <w:color w:val="CC0066"/>
          <w:sz w:val="28"/>
          <w:szCs w:val="24"/>
          <w:u w:val="single"/>
        </w:rPr>
      </w:r>
    </w:p>
    <w:p>
      <w:pPr>
        <w:pStyle w:val="Tlotextu"/>
        <w:spacing w:before="0" w:after="120"/>
        <w:jc w:val="center"/>
        <w:rPr>
          <w:rFonts w:ascii="Arial" w:hAnsi="Arial"/>
          <w:caps/>
          <w:color w:val="CC0066"/>
          <w:sz w:val="28"/>
          <w:szCs w:val="24"/>
        </w:rPr>
      </w:pP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plaCENÍ daně z nemovitých věcí</w:t>
      </w:r>
    </w:p>
    <w:p>
      <w:pPr>
        <w:pStyle w:val="Normal"/>
        <w:spacing w:before="0" w:after="12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>
        <w:rPr>
          <w:rFonts w:cs="Times New Roman"/>
          <w:b/>
          <w:sz w:val="22"/>
          <w:szCs w:val="24"/>
          <w:u w:val="single"/>
        </w:rPr>
        <w:t>splatná</w:t>
      </w:r>
      <w:r>
        <w:rPr>
          <w:rFonts w:cs="Times New Roman"/>
          <w:sz w:val="22"/>
          <w:szCs w:val="24"/>
        </w:rPr>
        <w:t xml:space="preserve"> najednou </w:t>
      </w:r>
      <w:r>
        <w:rPr>
          <w:rFonts w:cs="Times New Roman"/>
          <w:sz w:val="22"/>
          <w:szCs w:val="24"/>
          <w:u w:val="single"/>
        </w:rPr>
        <w:t xml:space="preserve">do </w:t>
      </w:r>
      <w:r>
        <w:rPr>
          <w:rFonts w:cs="Times New Roman"/>
          <w:b/>
          <w:sz w:val="22"/>
          <w:szCs w:val="24"/>
          <w:u w:val="single"/>
        </w:rPr>
        <w:t>31. května 2026</w:t>
      </w:r>
      <w:r>
        <w:rPr>
          <w:rFonts w:cs="Times New Roman"/>
          <w:sz w:val="22"/>
          <w:szCs w:val="24"/>
        </w:rPr>
        <w:t>. Ke stejnému datu lze zaplatit daň najednou i při vyšší částce.</w:t>
      </w:r>
    </w:p>
    <w:p>
      <w:pPr>
        <w:pStyle w:val="Tlotextu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Činí-li celková daň více jak 5 000 Kč, je daň splatná ve dvou stejných splátkách; u poplatníků daně provozujících zemědělskou výrobu a chov ryb splatných nejpozději do </w:t>
      </w:r>
      <w:r>
        <w:rPr>
          <w:rFonts w:ascii="Arial" w:hAnsi="Arial"/>
          <w:b/>
          <w:sz w:val="22"/>
          <w:szCs w:val="24"/>
        </w:rPr>
        <w:t>31. srpna</w:t>
      </w:r>
      <w:r>
        <w:rPr>
          <w:rFonts w:ascii="Arial" w:hAnsi="Arial"/>
          <w:sz w:val="22"/>
          <w:szCs w:val="24"/>
        </w:rPr>
        <w:t xml:space="preserve"> a do </w:t>
      </w:r>
      <w:r>
        <w:rPr>
          <w:rFonts w:ascii="Arial" w:hAnsi="Arial"/>
          <w:b/>
          <w:sz w:val="22"/>
          <w:szCs w:val="24"/>
        </w:rPr>
        <w:t>30. listopadu 2026</w:t>
      </w:r>
      <w:r>
        <w:rPr>
          <w:rFonts w:ascii="Arial" w:hAnsi="Arial"/>
          <w:sz w:val="22"/>
          <w:szCs w:val="24"/>
        </w:rPr>
        <w:t xml:space="preserve">, u ostatních poplatníků daně splatných nejpozději </w:t>
      </w:r>
      <w:r>
        <w:rPr>
          <w:rFonts w:ascii="Arial" w:hAnsi="Arial"/>
          <w:b/>
          <w:sz w:val="22"/>
          <w:szCs w:val="24"/>
        </w:rPr>
        <w:t>do 31. května</w:t>
      </w:r>
      <w:r>
        <w:rPr>
          <w:rFonts w:ascii="Arial" w:hAnsi="Arial"/>
          <w:sz w:val="22"/>
          <w:szCs w:val="24"/>
        </w:rPr>
        <w:t xml:space="preserve"> a do </w:t>
      </w:r>
      <w:r>
        <w:rPr>
          <w:rFonts w:ascii="Arial" w:hAnsi="Arial"/>
          <w:b/>
          <w:sz w:val="22"/>
          <w:szCs w:val="24"/>
        </w:rPr>
        <w:t>30. listopadu 2026</w:t>
      </w:r>
      <w:r>
        <w:rPr>
          <w:rFonts w:ascii="Arial" w:hAnsi="Arial"/>
          <w:sz w:val="22"/>
          <w:szCs w:val="24"/>
        </w:rPr>
        <w:t>.</w:t>
      </w:r>
    </w:p>
    <w:p>
      <w:pPr>
        <w:pStyle w:val="Tlotextu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</w:r>
    </w:p>
    <w:p>
      <w:pPr>
        <w:pStyle w:val="Tlotextu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 xml:space="preserve">, vzniká poplatníkovi při splnění zákonných podmínek </w:t>
      </w:r>
      <w:r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>
      <w:pPr>
        <w:pStyle w:val="Tlotextu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</w:r>
    </w:p>
    <w:p>
      <w:pPr>
        <w:pStyle w:val="Tlotextu"/>
        <w:spacing w:before="0"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t>Bezhotovostní placení daně</w:t>
      </w:r>
    </w:p>
    <w:p>
      <w:pPr>
        <w:pStyle w:val="Normal"/>
        <w:jc w:val="both"/>
        <w:rPr>
          <w:rFonts w:cs="Times New Roman"/>
          <w:b/>
          <w:b/>
          <w:sz w:val="28"/>
          <w:szCs w:val="22"/>
        </w:rPr>
      </w:pPr>
      <w:r>
        <w:rPr>
          <w:rFonts w:cs="Times New Roman"/>
          <w:sz w:val="24"/>
          <w:szCs w:val="22"/>
          <w:u w:val="single"/>
        </w:rPr>
        <w:t>bankovní účet Finančního úřadu pro Jihočeský kraj – číslo:</w:t>
      </w:r>
      <w:r>
        <w:rPr>
          <w:rFonts w:cs="Times New Roman"/>
          <w:sz w:val="24"/>
          <w:szCs w:val="22"/>
        </w:rPr>
        <w:tab/>
      </w:r>
      <w:r>
        <w:rPr>
          <w:rFonts w:cs="Times New Roman"/>
          <w:b/>
          <w:sz w:val="28"/>
          <w:szCs w:val="22"/>
        </w:rPr>
        <w:t>7755-77627231/0710</w:t>
      </w:r>
    </w:p>
    <w:p>
      <w:pPr>
        <w:pStyle w:val="Normal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ind w:firstLine="708"/>
        <w:rPr>
          <w:rFonts w:cs="Times New Roman"/>
          <w:sz w:val="28"/>
          <w:szCs w:val="22"/>
        </w:rPr>
      </w:pPr>
      <w:r>
        <w:rPr>
          <w:rFonts w:cs="Times New Roman"/>
          <w:sz w:val="24"/>
          <w:szCs w:val="22"/>
        </w:rPr>
        <w:t xml:space="preserve">IBAN: </w:t>
      </w:r>
      <w:r>
        <w:rPr>
          <w:rFonts w:cs="Times New Roman"/>
          <w:b/>
          <w:sz w:val="24"/>
          <w:szCs w:val="22"/>
        </w:rPr>
        <w:t>CZ25 0710 0077 5500 7762 7231</w:t>
      </w:r>
      <w:r>
        <w:rPr>
          <w:rFonts w:cs="Times New Roman"/>
          <w:sz w:val="24"/>
          <w:szCs w:val="22"/>
        </w:rPr>
        <w:tab/>
        <w:t xml:space="preserve">BIC kód: </w:t>
      </w:r>
      <w:r>
        <w:rPr>
          <w:rFonts w:cs="Times New Roman"/>
          <w:b/>
          <w:sz w:val="24"/>
          <w:szCs w:val="22"/>
        </w:rPr>
        <w:t>CNBACZPP</w:t>
      </w:r>
    </w:p>
    <w:p>
      <w:pPr>
        <w:pStyle w:val="PlainText"/>
        <w:rPr>
          <w:rFonts w:ascii="Arial" w:hAnsi="Arial" w:cs="Times New Roman"/>
          <w:sz w:val="16"/>
          <w:szCs w:val="16"/>
        </w:rPr>
      </w:pPr>
      <w:r>
        <w:rPr>
          <w:rFonts w:cs="Times New Roman" w:ascii="Arial" w:hAnsi="Arial"/>
          <w:sz w:val="16"/>
          <w:szCs w:val="16"/>
        </w:rPr>
      </w:r>
    </w:p>
    <w:p>
      <w:pPr>
        <w:pStyle w:val="PlainText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konstantní symbol:</w:t>
        <w:tab/>
        <w:t>1148 – platba převodním příkazem</w:t>
      </w:r>
    </w:p>
    <w:p>
      <w:pPr>
        <w:pStyle w:val="PlainText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variabilní symbol:</w:t>
        <w:tab/>
        <w:t>fyzická osoba – rodné číslo, právnická osoba – IČ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b/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Úhrada daně prostřednictvím SIPO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Služba umožňuje poplatníkům bezstarostné placení daně z nemovitých věcí prostřednictvím SIPO podle podmínek zveřejněných Finanční správou.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8">
        <w:r>
          <w:rPr>
            <w:rStyle w:val="Interne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>
        <w:rPr/>
        <w:t xml:space="preserve"> </w:t>
      </w:r>
      <w:r>
        <w:rPr>
          <w:rFonts w:cs="Times New Roman"/>
          <w:sz w:val="22"/>
          <w:szCs w:val="24"/>
        </w:rPr>
        <w:t>„</w:t>
      </w:r>
      <w:hyperlink r:id="rId9">
        <w:r>
          <w:rPr>
            <w:rStyle w:val="Interne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>
        <w:rPr>
          <w:rFonts w:cs="Times New Roman"/>
          <w:sz w:val="22"/>
          <w:szCs w:val="24"/>
        </w:rPr>
        <w:t xml:space="preserve">“ (odkaz: </w:t>
      </w:r>
      <w:hyperlink r:id="rId10">
        <w:r>
          <w:rPr>
            <w:rStyle w:val="Interne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 xml:space="preserve">) a s dokladem o přidělení spojovacího čísla SIPO nebo aktuálním rozpisem bezhotovostní platby SIPO doručí územnímu pracovišti, na němž má veden spis k dani z nemovitých věcí. Spojovací číslo SIPO lze případně získat na kterékoliv poště. </w:t>
      </w:r>
      <w:r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31. ledna 2026</w:t>
      </w:r>
      <w:r>
        <w:rPr>
          <w:sz w:val="22"/>
          <w:szCs w:val="22"/>
        </w:rPr>
        <w:t>, bude daň hrazena prostřednictvím SIPO od roku 2026.</w:t>
      </w:r>
      <w:r>
        <w:rPr>
          <w:rFonts w:cs="Times New Roman"/>
          <w:sz w:val="22"/>
          <w:szCs w:val="22"/>
        </w:rPr>
        <w:t xml:space="preserve"> Daň bude automaticky hrazena i v následujících zdaňovacích obdobích i v případě změny výše stanovené daně z nemovitých věcí.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Zaslání údajů pro placení daně na e-mail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Poplatníkům s touto zřízenou službou zašle správce daně před splatností první splátky daně každý rok informaci s údaji pro placení daně na jimi určenou e-mailovou adresu, tj. údaji o výši stanovené daně, nedoplatku nebo přeplatku, údaji pro placení daně včetně QR kódu, umožňujícího platbu prostřednictvím internetového bankovnictví i mobilních platebních aplikací.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>
        <w:rPr>
          <w:sz w:val="22"/>
          <w:szCs w:val="22"/>
        </w:rPr>
        <w:t xml:space="preserve">je s účinností od 1.1.2024 nově možnost pro poplatníky zaslat správci daně Žádost ve věci zasílání údajů pro placení daně z nemovitých věcí e-mailem, jako elektronickou kopii dokumentu opatřeného vlastnoručním podpisem, tj. </w:t>
      </w:r>
      <w:r>
        <w:rPr>
          <w:b/>
          <w:bCs/>
          <w:sz w:val="22"/>
          <w:szCs w:val="22"/>
        </w:rPr>
        <w:t>postačí,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aby poplatník správci daně zaslal e-mail (na e-mailovou adresu příslušného územního pracoviště) </w:t>
      </w:r>
      <w:r>
        <w:rPr>
          <w:b/>
          <w:bCs/>
          <w:sz w:val="22"/>
          <w:szCs w:val="22"/>
          <w:u w:val="single"/>
        </w:rPr>
        <w:t>obsahující sken vlastnoručně podepsané</w:t>
      </w:r>
      <w:r>
        <w:rPr>
          <w:sz w:val="22"/>
          <w:szCs w:val="22"/>
        </w:rPr>
        <w:t xml:space="preserve"> </w:t>
      </w:r>
      <w:bookmarkStart w:id="1" w:name="_Hlk153365031"/>
      <w:r>
        <w:rPr>
          <w:sz w:val="22"/>
          <w:szCs w:val="22"/>
        </w:rPr>
        <w:t>Žádosti ve věci zasílání údajů pro placení daně z nemovitých věcí e-mailem (§ 15 odst. 6 zákona o dani z nemovitých věcí).</w:t>
      </w:r>
      <w:bookmarkEnd w:id="1"/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>
        <w:rPr>
          <w:rFonts w:cs="Times New Roman"/>
          <w:sz w:val="22"/>
          <w:szCs w:val="24"/>
        </w:rPr>
        <w:t xml:space="preserve">“ </w:t>
      </w:r>
      <w:r>
        <w:rPr>
          <w:rFonts w:cs="Times New Roman"/>
          <w:b/>
          <w:sz w:val="22"/>
          <w:szCs w:val="24"/>
          <w:u w:val="single"/>
        </w:rPr>
        <w:t>do 15. března 2026</w:t>
      </w:r>
      <w:r>
        <w:rPr>
          <w:rFonts w:cs="Times New Roman"/>
          <w:sz w:val="22"/>
          <w:szCs w:val="24"/>
        </w:rPr>
        <w:t xml:space="preserve"> na územní pracoviště, na němž má uložen spis k dani z nemovitých věcí. Údaje pro placení daně z nemovitých věcí budou poplatníkovi automaticky zasílány e</w:t>
        <w:noBreakHyphen/>
        <w:t>mailem i v následujících zdaňovacích obdobích.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hyperlink r:id="rId11">
        <w:r>
          <w:rPr>
            <w:rStyle w:val="Interne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Služba je elektronickou náhradou za každoročně zasílané složenky pro placení daně, kterým správce daně zasílá podrobnou informaci pro placení daně na zvolenou e-mailovou adresu. Tato služba není určena poplatníkům, kteří platí daň prostřednictvím SIPO, jimž je zasílán rozpis plateb SIPO.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b/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Zaslání údajů pro placení daně do datové schránky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bCs/>
          <w:color w:val="CC0066"/>
          <w:sz w:val="22"/>
          <w:szCs w:val="24"/>
          <w:u w:val="single"/>
        </w:rPr>
      </w:pPr>
      <w:hyperlink r:id="rId12">
        <w:r>
          <w:rPr>
            <w:rStyle w:val="Internetovodkaz"/>
            <w:bCs/>
            <w:sz w:val="22"/>
            <w:szCs w:val="24"/>
          </w:rPr>
          <w:t>https://financnisprava.gov.cz/cs/dane/dane/dan-z-nemovitych-veci/datove-schranky</w:t>
        </w:r>
      </w:hyperlink>
    </w:p>
    <w:p>
      <w:pPr>
        <w:pStyle w:val="Normal"/>
        <w:tabs>
          <w:tab w:val="clear" w:pos="708"/>
          <w:tab w:val="left" w:pos="6508" w:leader="none"/>
        </w:tabs>
        <w:jc w:val="both"/>
        <w:rPr>
          <w:b/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b/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</w:r>
    </w:p>
    <w:p>
      <w:pPr>
        <w:pStyle w:val="Normal"/>
        <w:tabs>
          <w:tab w:val="clear" w:pos="708"/>
          <w:tab w:val="left" w:pos="6508" w:leader="none"/>
        </w:tabs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Úhrada daně v hotovosti</w:t>
      </w:r>
    </w:p>
    <w:p>
      <w:pPr>
        <w:pStyle w:val="Normal"/>
        <w:tabs>
          <w:tab w:val="clear" w:pos="708"/>
          <w:tab w:val="left" w:pos="2127" w:leader="none"/>
          <w:tab w:val="left" w:pos="4820" w:leader="none"/>
          <w:tab w:val="left" w:pos="6663" w:leader="none"/>
        </w:tabs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820" w:leader="none"/>
          <w:tab w:val="left" w:pos="6663" w:leader="none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8"/>
        </w:rPr>
        <w:t>UPOZORNĚNÍ:</w:t>
      </w:r>
      <w:r>
        <w:rPr>
          <w:rFonts w:cs="Times New Roman"/>
          <w:sz w:val="22"/>
          <w:szCs w:val="28"/>
        </w:rPr>
        <w:t xml:space="preserve"> D</w:t>
      </w:r>
      <w:r>
        <w:rPr>
          <w:rFonts w:cs="Times New Roman"/>
          <w:bCs/>
          <w:sz w:val="22"/>
          <w:szCs w:val="22"/>
        </w:rPr>
        <w:t>aň v hotovosti je možné hradit pouze na Územním pracovišti</w:t>
      </w:r>
      <w:r>
        <w:rPr>
          <w:rFonts w:cs="Times New Roman"/>
          <w:sz w:val="22"/>
          <w:szCs w:val="22"/>
        </w:rPr>
        <w:t xml:space="preserve"> v Českých Budějovicích v </w:t>
      </w:r>
      <w:r>
        <w:rPr>
          <w:rFonts w:cs="Times New Roman"/>
          <w:b/>
          <w:bCs/>
          <w:sz w:val="22"/>
          <w:szCs w:val="22"/>
        </w:rPr>
        <w:t xml:space="preserve">pondělí </w:t>
      </w:r>
      <w:r>
        <w:rPr>
          <w:rFonts w:cs="Times New Roman"/>
          <w:sz w:val="22"/>
          <w:szCs w:val="22"/>
        </w:rPr>
        <w:t xml:space="preserve">a ve </w:t>
      </w:r>
      <w:r>
        <w:rPr>
          <w:rFonts w:cs="Times New Roman"/>
          <w:b/>
          <w:bCs/>
          <w:sz w:val="22"/>
          <w:szCs w:val="22"/>
        </w:rPr>
        <w:t>středu</w:t>
      </w:r>
      <w:r>
        <w:rPr>
          <w:rFonts w:cs="Times New Roman"/>
          <w:sz w:val="22"/>
          <w:szCs w:val="22"/>
        </w:rPr>
        <w:t xml:space="preserve"> v pokladních hodinách vždy od </w:t>
      </w:r>
      <w:r>
        <w:rPr>
          <w:rFonts w:cs="Times New Roman"/>
          <w:b/>
          <w:bCs/>
          <w:sz w:val="22"/>
          <w:szCs w:val="22"/>
        </w:rPr>
        <w:t>8:00 do 12:00 hod</w:t>
      </w:r>
      <w:r>
        <w:rPr>
          <w:rFonts w:cs="Times New Roman"/>
          <w:sz w:val="22"/>
          <w:szCs w:val="22"/>
        </w:rPr>
        <w:t xml:space="preserve">. a od </w:t>
      </w:r>
      <w:r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Tlotextu"/>
        <w:spacing w:before="0" w:after="120"/>
        <w:jc w:val="center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-BoldMT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3698"/>
    <w:pPr>
      <w:widowControl/>
      <w:bidi w:val="0"/>
      <w:spacing w:lineRule="auto" w:line="240" w:before="0" w:after="0"/>
      <w:jc w:val="left"/>
    </w:pPr>
    <w:rPr>
      <w:rFonts w:eastAsia="Times New Roman" w:cs="Arial" w:ascii="Arial" w:hAnsi="Arial"/>
      <w:color w:val="auto"/>
      <w:kern w:val="0"/>
      <w:sz w:val="20"/>
      <w:szCs w:val="20"/>
      <w:lang w:eastAsia="cs-CZ" w:val="cs-CZ" w:bidi="ar-SA"/>
    </w:rPr>
  </w:style>
  <w:style w:type="paragraph" w:styleId="Nadpis1">
    <w:name w:val="Heading 1"/>
    <w:basedOn w:val="Normal"/>
    <w:next w:val="Normal"/>
    <w:link w:val="Nadpis1Char"/>
    <w:qFormat/>
    <w:rsid w:val="00033698"/>
    <w:pPr>
      <w:keepNext w:val="true"/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7f524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033698"/>
    <w:rPr/>
  </w:style>
  <w:style w:type="character" w:styleId="ZpatChar" w:customStyle="1">
    <w:name w:val="Zápatí Char"/>
    <w:basedOn w:val="DefaultParagraphFont"/>
    <w:uiPriority w:val="99"/>
    <w:qFormat/>
    <w:rsid w:val="00033698"/>
    <w:rPr/>
  </w:style>
  <w:style w:type="character" w:styleId="Nadpis1Char" w:customStyle="1">
    <w:name w:val="Nadpis 1 Char"/>
    <w:basedOn w:val="DefaultParagraphFont"/>
    <w:qFormat/>
    <w:rsid w:val="00033698"/>
    <w:rPr>
      <w:rFonts w:ascii="Cambria" w:hAnsi="Cambria" w:eastAsia="Times New Roman" w:cs="Times New Roman"/>
      <w:b/>
      <w:bCs/>
      <w:kern w:val="2"/>
      <w:sz w:val="32"/>
      <w:szCs w:val="32"/>
      <w:lang w:eastAsia="cs-CZ"/>
    </w:rPr>
  </w:style>
  <w:style w:type="character" w:styleId="ZkladntextChar" w:customStyle="1">
    <w:name w:val="Základní text Char"/>
    <w:basedOn w:val="DefaultParagraphFont"/>
    <w:qFormat/>
    <w:rsid w:val="00033698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ProsttextChar" w:customStyle="1">
    <w:name w:val="Prostý text Char"/>
    <w:basedOn w:val="DefaultParagraphFont"/>
    <w:link w:val="PlainText"/>
    <w:qFormat/>
    <w:rsid w:val="00033698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ZkladntextodsazenChar" w:customStyle="1">
    <w:name w:val="Základní text odsazený Char"/>
    <w:basedOn w:val="DefaultParagraphFont"/>
    <w:qFormat/>
    <w:rsid w:val="00033698"/>
    <w:rPr>
      <w:rFonts w:eastAsia="Times New Roman" w:cs="Arial"/>
      <w:sz w:val="20"/>
      <w:szCs w:val="20"/>
      <w:lang w:eastAsia="cs-CZ"/>
    </w:rPr>
  </w:style>
  <w:style w:type="character" w:styleId="Internetovodkaz">
    <w:name w:val="Internetový odkaz"/>
    <w:rsid w:val="00033698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1627f"/>
    <w:rPr>
      <w:color w:val="605E5C"/>
      <w:shd w:fill="E1DFDD" w:val="clear"/>
    </w:rPr>
  </w:style>
  <w:style w:type="character" w:styleId="Nadpis3Char" w:customStyle="1">
    <w:name w:val="Nadpis 3 Char"/>
    <w:basedOn w:val="DefaultParagraphFont"/>
    <w:uiPriority w:val="9"/>
    <w:semiHidden/>
    <w:qFormat/>
    <w:rsid w:val="007f5240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0336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0336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lainText">
    <w:name w:val="Plain Text"/>
    <w:basedOn w:val="Normal"/>
    <w:link w:val="ProsttextChar"/>
    <w:qFormat/>
    <w:rsid w:val="00033698"/>
    <w:pPr/>
    <w:rPr>
      <w:rFonts w:ascii="Courier New" w:hAnsi="Courier New" w:cs="Courier New"/>
    </w:rPr>
  </w:style>
  <w:style w:type="paragraph" w:styleId="Odsazentlatextu">
    <w:name w:val="Body Text Indent"/>
    <w:basedOn w:val="Normal"/>
    <w:link w:val="ZkladntextodsazenChar"/>
    <w:rsid w:val="00033698"/>
    <w:pPr>
      <w:spacing w:before="0" w:after="120"/>
      <w:ind w:left="283" w:hanging="0"/>
    </w:pPr>
    <w:rPr/>
  </w:style>
  <w:style w:type="paragraph" w:styleId="Textparagrafu" w:customStyle="1">
    <w:name w:val="Text paragrafu"/>
    <w:basedOn w:val="Normal"/>
    <w:qFormat/>
    <w:rsid w:val="00091eb5"/>
    <w:pPr>
      <w:spacing w:before="240" w:after="0"/>
      <w:ind w:firstLine="425"/>
      <w:jc w:val="both"/>
    </w:pPr>
    <w:rPr>
      <w:rFonts w:ascii="Times New Roman" w:hAnsi="Times New Roman" w:eastAsia="Calibri" w:cs="Times New Roman"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be070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financnisprava.gov.cz/cs/dane/dane/dan-z-nemovitych-veci/informace-stanoviska-a-sdeleni/2025" TargetMode="External"/><Relationship Id="rId4" Type="http://schemas.openxmlformats.org/officeDocument/2006/relationships/hyperlink" Target="https://www.financnisprava.cz/cs/dane/dane/dan-z-nemovitych-veci/informace-stanoviska-a-sdeleni/2023" TargetMode="External"/><Relationship Id="rId5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6" Type="http://schemas.openxmlformats.org/officeDocument/2006/relationships/hyperlink" Target="http://www.mojedane.cz/" TargetMode="External"/><Relationship Id="rId7" Type="http://schemas.openxmlformats.org/officeDocument/2006/relationships/hyperlink" Target="http://www.financnisprava.cz/" TargetMode="External"/><Relationship Id="rId8" Type="http://schemas.openxmlformats.org/officeDocument/2006/relationships/hyperlink" Target="https://financnisprava.gov.cz/cs/dane/dane/dan-z-nemovitych-veci/sipo" TargetMode="External"/><Relationship Id="rId9" Type="http://schemas.openxmlformats.org/officeDocument/2006/relationships/hyperlink" Target="http://www.financnisprava.cz/assets/tiskopisy/IF_5557_1.pdf?201509040943" TargetMode="External"/><Relationship Id="rId10" Type="http://schemas.openxmlformats.org/officeDocument/2006/relationships/hyperlink" Target="https://forms.fs.gov.cz/5557/form/oznameni" TargetMode="External"/><Relationship Id="rId11" Type="http://schemas.openxmlformats.org/officeDocument/2006/relationships/hyperlink" Target="https://financnisprava.gov.cz/cs/dane/dane/dan-z-nemovitych-veci/zasilani-udaju-pro-placeni-dane-e-mailem" TargetMode="External"/><Relationship Id="rId12" Type="http://schemas.openxmlformats.org/officeDocument/2006/relationships/hyperlink" Target="https://financnisprava.gov.cz/cs/dane/dane/dan-z-nemovitych-veci/datove-schranky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LibreOffice/7.3.7.2$Windows_X86_64 LibreOffice_project/e114eadc50a9ff8d8c8a0567d6da8f454beeb84f</Application>
  <AppVersion>15.0000</AppVersion>
  <Pages>3</Pages>
  <Words>1039</Words>
  <Characters>6579</Characters>
  <CharactersWithSpaces>7577</CharactersWithSpaces>
  <Paragraphs>61</Paragraphs>
  <Company>Finanční správa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2025-12-29T06:18:00Z</dcterms:created>
  <dc:creator>Bursa Miroslav Ing. (FÚ pro Jihočeský kraj)</dc:creator>
  <dc:description/>
  <dc:language>cs-CZ</dc:language>
  <cp:lastModifiedBy>Šišková Miroslava (ÚzP ve Strakonicích)</cp:lastModifiedBy>
  <dcterms:modified xsi:type="dcterms:W3CDTF">2025-12-29T06:18:00Z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